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楷体_GB2312" w:hAnsi="楷体_GB2312" w:eastAsia="楷体_GB2312" w:cs="楷体_GB2312"/>
          <w:b/>
          <w:bCs/>
          <w:sz w:val="44"/>
          <w:szCs w:val="44"/>
          <w:lang w:val="en-US" w:eastAsia="zh-CN"/>
        </w:rPr>
      </w:pPr>
      <w:r>
        <w:rPr>
          <w:rFonts w:hint="eastAsia" w:ascii="楷体_GB2312" w:hAnsi="楷体_GB2312" w:eastAsia="楷体_GB2312" w:cs="楷体_GB2312"/>
          <w:b/>
          <w:bCs/>
          <w:sz w:val="44"/>
          <w:szCs w:val="44"/>
          <w:lang w:eastAsia="zh-CN"/>
        </w:rPr>
        <w:t>益阳市委党校</w:t>
      </w:r>
      <w:r>
        <w:rPr>
          <w:rFonts w:hint="eastAsia" w:ascii="楷体_GB2312" w:hAnsi="楷体_GB2312" w:eastAsia="楷体_GB2312" w:cs="楷体_GB2312"/>
          <w:b/>
          <w:bCs/>
          <w:sz w:val="44"/>
          <w:szCs w:val="44"/>
          <w:lang w:val="en-US" w:eastAsia="zh-CN"/>
        </w:rPr>
        <w:t>2020年部门整体支出</w:t>
      </w:r>
    </w:p>
    <w:p>
      <w:pPr>
        <w:jc w:val="center"/>
        <w:rPr>
          <w:rFonts w:hint="eastAsia" w:ascii="楷体_GB2312" w:hAnsi="楷体_GB2312" w:eastAsia="楷体_GB2312" w:cs="楷体_GB2312"/>
          <w:b/>
          <w:bCs/>
          <w:sz w:val="28"/>
          <w:szCs w:val="28"/>
          <w:lang w:val="en-US" w:eastAsia="zh-CN"/>
        </w:rPr>
      </w:pPr>
      <w:r>
        <w:rPr>
          <w:rFonts w:hint="eastAsia" w:ascii="楷体_GB2312" w:hAnsi="楷体_GB2312" w:eastAsia="楷体_GB2312" w:cs="楷体_GB2312"/>
          <w:b/>
          <w:bCs/>
          <w:sz w:val="44"/>
          <w:szCs w:val="44"/>
          <w:lang w:val="en-US" w:eastAsia="zh-CN"/>
        </w:rPr>
        <w:t>绩效自评报告</w:t>
      </w:r>
    </w:p>
    <w:p>
      <w:pPr>
        <w:spacing w:line="360" w:lineRule="auto"/>
        <w:ind w:firstLine="560" w:firstLineChars="200"/>
        <w:rPr>
          <w:rFonts w:hint="eastAsia" w:ascii="楷体_GB2312" w:hAnsi="楷体_GB2312" w:eastAsia="楷体_GB2312" w:cs="楷体_GB2312"/>
          <w:sz w:val="28"/>
          <w:szCs w:val="28"/>
          <w:lang w:val="en-US" w:eastAsia="zh-CN"/>
        </w:rPr>
      </w:pPr>
      <w:r>
        <w:rPr>
          <w:rFonts w:hint="eastAsia" w:ascii="楷体_GB2312" w:hAnsi="楷体_GB2312" w:eastAsia="楷体_GB2312" w:cs="楷体_GB2312"/>
          <w:sz w:val="28"/>
          <w:szCs w:val="28"/>
          <w:lang w:val="en-US" w:eastAsia="zh-CN"/>
        </w:rPr>
        <w:t>为深入贯彻落实《中共中央国务院关于全面实施预算绩效管理的意见》（中发[2018]34号）精神，不断增强预算绩效理念，强化部门支出责任，推进全面实施预算绩效管理，提高财政资金使用效益，我校认真组织进行了2020年度预算绩效自评工作，现将我校部门整体支出绩效评价情况报告如下：</w:t>
      </w:r>
    </w:p>
    <w:p>
      <w:pPr>
        <w:numPr>
          <w:ilvl w:val="0"/>
          <w:numId w:val="1"/>
        </w:numPr>
        <w:spacing w:line="360" w:lineRule="auto"/>
        <w:ind w:firstLine="562" w:firstLineChars="200"/>
        <w:rPr>
          <w:rFonts w:hint="eastAsia" w:ascii="楷体_GB2312" w:hAnsi="楷体_GB2312" w:eastAsia="楷体_GB2312" w:cs="楷体_GB2312"/>
          <w:b/>
          <w:bCs/>
          <w:sz w:val="28"/>
          <w:szCs w:val="28"/>
          <w:lang w:val="en-US" w:eastAsia="zh-CN"/>
        </w:rPr>
      </w:pPr>
      <w:r>
        <w:rPr>
          <w:rFonts w:hint="eastAsia" w:ascii="楷体_GB2312" w:hAnsi="楷体_GB2312" w:eastAsia="楷体_GB2312" w:cs="楷体_GB2312"/>
          <w:b/>
          <w:bCs/>
          <w:sz w:val="28"/>
          <w:szCs w:val="28"/>
          <w:lang w:val="en-US" w:eastAsia="zh-CN"/>
        </w:rPr>
        <w:t>部门基本情况：</w:t>
      </w:r>
    </w:p>
    <w:p>
      <w:pPr>
        <w:numPr>
          <w:ilvl w:val="0"/>
          <w:numId w:val="2"/>
        </w:numPr>
        <w:spacing w:line="360" w:lineRule="auto"/>
        <w:ind w:firstLine="562" w:firstLineChars="200"/>
        <w:rPr>
          <w:rFonts w:hint="eastAsia" w:ascii="楷体_GB2312" w:hAnsi="楷体_GB2312" w:eastAsia="楷体_GB2312" w:cs="楷体_GB2312"/>
          <w:sz w:val="28"/>
          <w:szCs w:val="28"/>
          <w:lang w:val="en-US" w:eastAsia="zh-CN"/>
        </w:rPr>
      </w:pPr>
      <w:r>
        <w:rPr>
          <w:rFonts w:hint="eastAsia" w:ascii="楷体_GB2312" w:hAnsi="楷体_GB2312" w:eastAsia="楷体_GB2312" w:cs="楷体_GB2312"/>
          <w:b/>
          <w:bCs/>
          <w:sz w:val="28"/>
          <w:szCs w:val="28"/>
          <w:lang w:val="en-US" w:eastAsia="zh-CN"/>
        </w:rPr>
        <w:t>主要职能</w:t>
      </w:r>
    </w:p>
    <w:p>
      <w:pPr>
        <w:numPr>
          <w:ilvl w:val="0"/>
          <w:numId w:val="0"/>
        </w:numPr>
        <w:spacing w:line="360" w:lineRule="auto"/>
        <w:ind w:firstLine="560"/>
        <w:rPr>
          <w:rFonts w:hint="eastAsia" w:ascii="楷体_GB2312" w:hAnsi="楷体_GB2312" w:eastAsia="楷体_GB2312" w:cs="楷体_GB2312"/>
          <w:sz w:val="28"/>
          <w:szCs w:val="28"/>
          <w:lang w:val="en-US" w:eastAsia="zh-CN"/>
        </w:rPr>
      </w:pPr>
      <w:r>
        <w:rPr>
          <w:rFonts w:hint="eastAsia" w:ascii="楷体_GB2312" w:hAnsi="楷体_GB2312" w:eastAsia="楷体_GB2312" w:cs="楷体_GB2312"/>
          <w:sz w:val="28"/>
          <w:szCs w:val="28"/>
          <w:lang w:val="en-US" w:eastAsia="zh-CN"/>
        </w:rPr>
        <w:t>（1）中共益阳市委党校是在益阳市委直接领导下培养党员领导干部和理论干部的学校，是市委的重要部门，是培训轮训党员领导干部的主渠道，是党的哲学社会科学研究机构。</w:t>
      </w:r>
    </w:p>
    <w:p>
      <w:pPr>
        <w:numPr>
          <w:ilvl w:val="0"/>
          <w:numId w:val="0"/>
        </w:numPr>
        <w:spacing w:line="360" w:lineRule="auto"/>
        <w:ind w:firstLine="560"/>
        <w:rPr>
          <w:rFonts w:hint="eastAsia" w:ascii="楷体_GB2312" w:hAnsi="楷体_GB2312" w:eastAsia="楷体_GB2312" w:cs="楷体_GB2312"/>
          <w:sz w:val="28"/>
          <w:szCs w:val="28"/>
          <w:lang w:val="en-US" w:eastAsia="zh-CN"/>
        </w:rPr>
      </w:pPr>
      <w:r>
        <w:rPr>
          <w:rFonts w:hint="eastAsia" w:ascii="楷体_GB2312" w:hAnsi="楷体_GB2312" w:eastAsia="楷体_GB2312" w:cs="楷体_GB2312"/>
          <w:sz w:val="28"/>
          <w:szCs w:val="28"/>
          <w:lang w:val="en-US" w:eastAsia="zh-CN"/>
        </w:rPr>
        <w:t>（2）校院开设有处级干部进修班、中青年干部培训班、科级干部进修班、公务员培训班、四区科干、中青班、各类专题研讨班等主体班次，年均培训轮训各级领导干部620人。</w:t>
      </w:r>
    </w:p>
    <w:p>
      <w:pPr>
        <w:numPr>
          <w:ilvl w:val="0"/>
          <w:numId w:val="0"/>
        </w:numPr>
        <w:spacing w:line="360" w:lineRule="auto"/>
        <w:ind w:firstLine="560"/>
        <w:rPr>
          <w:rFonts w:hint="eastAsia" w:ascii="楷体_GB2312" w:hAnsi="楷体_GB2312" w:eastAsia="楷体_GB2312" w:cs="楷体_GB2312"/>
          <w:sz w:val="28"/>
          <w:szCs w:val="28"/>
          <w:lang w:val="en-US" w:eastAsia="zh-CN"/>
        </w:rPr>
      </w:pPr>
      <w:r>
        <w:rPr>
          <w:rFonts w:hint="eastAsia" w:ascii="楷体_GB2312" w:hAnsi="楷体_GB2312" w:eastAsia="楷体_GB2312" w:cs="楷体_GB2312"/>
          <w:sz w:val="28"/>
          <w:szCs w:val="28"/>
          <w:lang w:val="en-US" w:eastAsia="zh-CN"/>
        </w:rPr>
        <w:t>（3）把习近平新时代中国特色社会主义思想党的十九大精神作为各主体班教学的核心内容，设置马列理论毛泽东思想和中国特色社会主义理论体系，充分运用课堂讲授、现场教学、求是论坛等教学手段，使学员真学、真懂、真信、真用。通过“用学术讲政治”补齐目前的教学短板，不断完善教学改革。</w:t>
      </w:r>
    </w:p>
    <w:p>
      <w:pPr>
        <w:numPr>
          <w:ilvl w:val="0"/>
          <w:numId w:val="0"/>
        </w:numPr>
        <w:spacing w:line="360" w:lineRule="auto"/>
        <w:ind w:firstLine="560"/>
        <w:rPr>
          <w:rFonts w:hint="eastAsia" w:ascii="楷体_GB2312" w:hAnsi="楷体_GB2312" w:eastAsia="楷体_GB2312" w:cs="楷体_GB2312"/>
          <w:sz w:val="28"/>
          <w:szCs w:val="28"/>
          <w:lang w:val="en-US" w:eastAsia="zh-CN"/>
        </w:rPr>
      </w:pPr>
      <w:r>
        <w:rPr>
          <w:rFonts w:hint="eastAsia" w:ascii="楷体_GB2312" w:hAnsi="楷体_GB2312" w:eastAsia="楷体_GB2312" w:cs="楷体_GB2312"/>
          <w:sz w:val="28"/>
          <w:szCs w:val="28"/>
          <w:lang w:val="en-US" w:eastAsia="zh-CN"/>
        </w:rPr>
        <w:t>（4）完成市委和省委党校交办的其他工作。</w:t>
      </w:r>
    </w:p>
    <w:p>
      <w:pPr>
        <w:numPr>
          <w:ilvl w:val="0"/>
          <w:numId w:val="0"/>
        </w:numPr>
        <w:spacing w:line="360" w:lineRule="auto"/>
        <w:ind w:firstLine="560"/>
        <w:rPr>
          <w:rFonts w:hint="eastAsia" w:ascii="楷体_GB2312" w:hAnsi="楷体_GB2312" w:eastAsia="楷体_GB2312" w:cs="楷体_GB2312"/>
          <w:sz w:val="28"/>
          <w:szCs w:val="28"/>
          <w:lang w:val="en-US" w:eastAsia="zh-CN"/>
        </w:rPr>
      </w:pPr>
      <w:r>
        <w:rPr>
          <w:rFonts w:hint="eastAsia" w:ascii="楷体_GB2312" w:hAnsi="楷体_GB2312" w:eastAsia="楷体_GB2312" w:cs="楷体_GB2312"/>
          <w:sz w:val="28"/>
          <w:szCs w:val="28"/>
          <w:lang w:val="en-US" w:eastAsia="zh-CN"/>
        </w:rPr>
        <w:t>2．</w:t>
      </w:r>
      <w:r>
        <w:rPr>
          <w:rFonts w:hint="eastAsia" w:ascii="楷体_GB2312" w:hAnsi="楷体_GB2312" w:eastAsia="楷体_GB2312" w:cs="楷体_GB2312"/>
          <w:b/>
          <w:bCs/>
          <w:sz w:val="28"/>
          <w:szCs w:val="28"/>
          <w:lang w:val="en-US" w:eastAsia="zh-CN"/>
        </w:rPr>
        <w:t>机构情况</w:t>
      </w:r>
      <w:r>
        <w:rPr>
          <w:rFonts w:hint="eastAsia" w:ascii="楷体_GB2312" w:hAnsi="楷体_GB2312" w:eastAsia="楷体_GB2312" w:cs="楷体_GB2312"/>
          <w:sz w:val="28"/>
          <w:szCs w:val="28"/>
          <w:lang w:val="en-US" w:eastAsia="zh-CN"/>
        </w:rPr>
        <w:t>：益阳市委党校是公益一类全额事业单位。分行政科室和教研教辅科室两部分。行政科室有：校办公室、教务科、科研科、学员管理科、培训科、指导与联络科、组织人事科、行离退休人员管理科、财务科、行政科、保卫科、机关党委。教研教辅处室有：马克思主义理论教研室、党史党建教研室、统战理论教研室、经济教研室、管理教研室、法律教研室、科技信息中心、图书馆。</w:t>
      </w:r>
      <w:r>
        <w:rPr>
          <w:rFonts w:hint="eastAsia" w:ascii="楷体_GB2312" w:hAnsi="楷体_GB2312" w:eastAsia="楷体_GB2312" w:cs="楷体_GB2312"/>
          <w:sz w:val="28"/>
          <w:szCs w:val="28"/>
          <w:lang w:val="en-US" w:eastAsia="zh-CN"/>
        </w:rPr>
        <w:tab/>
      </w:r>
    </w:p>
    <w:p>
      <w:pPr>
        <w:numPr>
          <w:ilvl w:val="0"/>
          <w:numId w:val="0"/>
        </w:numPr>
        <w:spacing w:line="360" w:lineRule="auto"/>
        <w:ind w:firstLine="560" w:firstLineChars="200"/>
        <w:rPr>
          <w:rFonts w:hint="eastAsia" w:ascii="楷体_GB2312" w:hAnsi="楷体_GB2312" w:eastAsia="楷体_GB2312" w:cs="楷体_GB2312"/>
          <w:sz w:val="28"/>
          <w:szCs w:val="28"/>
          <w:lang w:val="en-US" w:eastAsia="zh-CN"/>
        </w:rPr>
      </w:pPr>
      <w:r>
        <w:rPr>
          <w:rFonts w:hint="eastAsia" w:ascii="楷体_GB2312" w:hAnsi="楷体_GB2312" w:eastAsia="楷体_GB2312" w:cs="楷体_GB2312"/>
          <w:sz w:val="28"/>
          <w:szCs w:val="28"/>
          <w:lang w:val="en-US" w:eastAsia="zh-CN"/>
        </w:rPr>
        <w:t>3、</w:t>
      </w:r>
      <w:r>
        <w:rPr>
          <w:rFonts w:hint="eastAsia" w:ascii="楷体_GB2312" w:hAnsi="楷体_GB2312" w:eastAsia="楷体_GB2312" w:cs="楷体_GB2312"/>
          <w:b/>
          <w:bCs/>
          <w:sz w:val="28"/>
          <w:szCs w:val="28"/>
          <w:lang w:val="en-US" w:eastAsia="zh-CN"/>
        </w:rPr>
        <w:t>人员情况</w:t>
      </w:r>
      <w:r>
        <w:rPr>
          <w:rFonts w:hint="eastAsia" w:ascii="楷体_GB2312" w:hAnsi="楷体_GB2312" w:eastAsia="楷体_GB2312" w:cs="楷体_GB2312"/>
          <w:sz w:val="28"/>
          <w:szCs w:val="28"/>
          <w:lang w:val="en-US" w:eastAsia="zh-CN"/>
        </w:rPr>
        <w:t>：我校是参照公务员管理的财政全额拨款的事业单位。工资管理实行行政和事业两种编制，现有在职人员94人（其中参公管理人员44人，非参公人员50人）；离休人员4人；退休人员95人。</w:t>
      </w:r>
    </w:p>
    <w:p>
      <w:pPr>
        <w:numPr>
          <w:ilvl w:val="0"/>
          <w:numId w:val="0"/>
        </w:numPr>
        <w:spacing w:line="360" w:lineRule="auto"/>
        <w:rPr>
          <w:rFonts w:hint="eastAsia" w:ascii="楷体_GB2312" w:hAnsi="楷体_GB2312" w:eastAsia="楷体_GB2312" w:cs="楷体_GB2312"/>
          <w:b/>
          <w:bCs/>
          <w:sz w:val="28"/>
          <w:szCs w:val="28"/>
          <w:lang w:val="en-US" w:eastAsia="zh-CN"/>
        </w:rPr>
      </w:pPr>
      <w:r>
        <w:rPr>
          <w:rFonts w:hint="eastAsia" w:ascii="楷体_GB2312" w:hAnsi="楷体_GB2312" w:eastAsia="楷体_GB2312" w:cs="楷体_GB2312"/>
          <w:b/>
          <w:bCs/>
          <w:sz w:val="28"/>
          <w:szCs w:val="28"/>
          <w:lang w:val="en-US" w:eastAsia="zh-CN"/>
        </w:rPr>
        <w:t>二、一般公共预算支出情况</w:t>
      </w:r>
    </w:p>
    <w:p>
      <w:pPr>
        <w:numPr>
          <w:ilvl w:val="0"/>
          <w:numId w:val="0"/>
        </w:numPr>
        <w:spacing w:line="360" w:lineRule="auto"/>
        <w:ind w:firstLine="420"/>
        <w:rPr>
          <w:rFonts w:hint="eastAsia" w:ascii="楷体_GB2312" w:hAnsi="楷体_GB2312" w:eastAsia="楷体_GB2312" w:cs="楷体_GB2312"/>
          <w:sz w:val="28"/>
          <w:szCs w:val="28"/>
          <w:lang w:val="en-US" w:eastAsia="zh-CN"/>
        </w:rPr>
      </w:pPr>
      <w:r>
        <w:rPr>
          <w:rFonts w:hint="eastAsia" w:ascii="楷体_GB2312" w:hAnsi="楷体_GB2312" w:eastAsia="楷体_GB2312" w:cs="楷体_GB2312"/>
          <w:sz w:val="28"/>
          <w:szCs w:val="28"/>
          <w:lang w:val="en-US" w:eastAsia="zh-CN"/>
        </w:rPr>
        <w:t>2020年部门决算支出情况：</w:t>
      </w:r>
    </w:p>
    <w:p>
      <w:pPr>
        <w:numPr>
          <w:ilvl w:val="0"/>
          <w:numId w:val="3"/>
        </w:numPr>
        <w:spacing w:line="360" w:lineRule="auto"/>
        <w:ind w:firstLine="420"/>
        <w:rPr>
          <w:rFonts w:hint="eastAsia" w:ascii="楷体_GB2312" w:hAnsi="楷体_GB2312" w:eastAsia="楷体_GB2312" w:cs="楷体_GB2312"/>
          <w:sz w:val="28"/>
          <w:szCs w:val="28"/>
          <w:lang w:val="en-US" w:eastAsia="zh-CN"/>
        </w:rPr>
      </w:pPr>
      <w:r>
        <w:rPr>
          <w:rFonts w:hint="eastAsia" w:ascii="楷体_GB2312" w:hAnsi="楷体_GB2312" w:eastAsia="楷体_GB2312" w:cs="楷体_GB2312"/>
          <w:sz w:val="28"/>
          <w:szCs w:val="28"/>
          <w:lang w:val="en-US" w:eastAsia="zh-CN"/>
        </w:rPr>
        <w:t>收入：1989.08万元。其中一般公共预算财政拨款1976.98万元；事业收入11.91万元，其他收入0.2万元。</w:t>
      </w:r>
    </w:p>
    <w:p>
      <w:pPr>
        <w:numPr>
          <w:ilvl w:val="0"/>
          <w:numId w:val="3"/>
        </w:numPr>
        <w:spacing w:line="360" w:lineRule="auto"/>
        <w:ind w:firstLine="420"/>
        <w:rPr>
          <w:rFonts w:hint="eastAsia" w:ascii="楷体_GB2312" w:hAnsi="楷体_GB2312" w:eastAsia="楷体_GB2312" w:cs="楷体_GB2312"/>
          <w:sz w:val="28"/>
          <w:szCs w:val="28"/>
          <w:lang w:val="en-US" w:eastAsia="zh-CN"/>
        </w:rPr>
      </w:pPr>
      <w:r>
        <w:rPr>
          <w:rFonts w:hint="eastAsia" w:ascii="楷体_GB2312" w:hAnsi="楷体_GB2312" w:eastAsia="楷体_GB2312" w:cs="楷体_GB2312"/>
          <w:sz w:val="28"/>
          <w:szCs w:val="28"/>
          <w:lang w:val="en-US" w:eastAsia="zh-CN"/>
        </w:rPr>
        <w:t>支出：2126.3万元。其中基本支出1815.43万元，项目支出310.87万元。</w:t>
      </w:r>
    </w:p>
    <w:p>
      <w:pPr>
        <w:numPr>
          <w:ilvl w:val="0"/>
          <w:numId w:val="3"/>
        </w:numPr>
        <w:spacing w:line="360" w:lineRule="auto"/>
        <w:ind w:firstLine="420"/>
        <w:rPr>
          <w:rFonts w:hint="eastAsia" w:ascii="楷体_GB2312" w:hAnsi="楷体_GB2312" w:eastAsia="楷体_GB2312" w:cs="楷体_GB2312"/>
          <w:sz w:val="28"/>
          <w:szCs w:val="28"/>
          <w:lang w:val="en-US" w:eastAsia="zh-CN"/>
        </w:rPr>
      </w:pPr>
      <w:r>
        <w:rPr>
          <w:rFonts w:hint="eastAsia" w:ascii="楷体_GB2312" w:hAnsi="楷体_GB2312" w:eastAsia="楷体_GB2312" w:cs="楷体_GB2312"/>
          <w:sz w:val="28"/>
          <w:szCs w:val="28"/>
          <w:lang w:val="en-US" w:eastAsia="zh-CN"/>
        </w:rPr>
        <w:t>收入支出与预算对比分析：当年收入决算1989.08万元，较年初预算1729.77万元增加259.31万元。其中四区主体班培训费13.54万元，人员增资及奖励经费增加等245.77万元，主要是2019年度综治奖、绩效考评奖及人员增资。</w:t>
      </w:r>
    </w:p>
    <w:p>
      <w:pPr>
        <w:numPr>
          <w:ilvl w:val="0"/>
          <w:numId w:val="3"/>
        </w:numPr>
        <w:snapToGrid w:val="0"/>
        <w:spacing w:line="520" w:lineRule="exact"/>
        <w:ind w:left="0" w:leftChars="0" w:firstLine="420" w:firstLineChars="0"/>
        <w:rPr>
          <w:rFonts w:hint="eastAsia" w:ascii="楷体_GB2312" w:hAnsi="楷体_GB2312" w:eastAsia="楷体_GB2312" w:cs="楷体_GB2312"/>
          <w:sz w:val="28"/>
          <w:szCs w:val="28"/>
          <w:lang w:val="en-US" w:eastAsia="zh-CN"/>
        </w:rPr>
      </w:pPr>
      <w:r>
        <w:rPr>
          <w:rFonts w:hint="eastAsia" w:ascii="楷体_GB2312" w:hAnsi="楷体_GB2312" w:eastAsia="楷体_GB2312" w:cs="楷体_GB2312"/>
          <w:sz w:val="28"/>
          <w:szCs w:val="28"/>
          <w:lang w:val="en-US" w:eastAsia="zh-CN"/>
        </w:rPr>
        <w:t>（1）收入结构分析</w:t>
      </w:r>
    </w:p>
    <w:p>
      <w:pPr>
        <w:numPr>
          <w:ilvl w:val="0"/>
          <w:numId w:val="0"/>
        </w:numPr>
        <w:snapToGrid w:val="0"/>
        <w:spacing w:line="520" w:lineRule="exact"/>
        <w:rPr>
          <w:rFonts w:hint="default" w:ascii="楷体_GB2312" w:hAnsi="楷体_GB2312" w:eastAsia="楷体_GB2312" w:cs="楷体_GB2312"/>
          <w:sz w:val="28"/>
          <w:szCs w:val="28"/>
          <w:lang w:val="en-US" w:eastAsia="zh-CN"/>
        </w:rPr>
      </w:pPr>
      <w:r>
        <w:rPr>
          <w:rFonts w:hint="eastAsia" w:ascii="楷体_GB2312" w:hAnsi="楷体_GB2312" w:eastAsia="楷体_GB2312" w:cs="楷体_GB2312"/>
          <w:sz w:val="28"/>
          <w:szCs w:val="28"/>
          <w:lang w:val="en-US" w:eastAsia="zh-CN"/>
        </w:rPr>
        <w:t>当年收入决算1989.08万元，其中：</w:t>
      </w:r>
    </w:p>
    <w:p>
      <w:pPr>
        <w:numPr>
          <w:ilvl w:val="0"/>
          <w:numId w:val="0"/>
        </w:numPr>
        <w:spacing w:line="360" w:lineRule="auto"/>
        <w:rPr>
          <w:rFonts w:hint="eastAsia" w:ascii="楷体_GB2312" w:hAnsi="楷体_GB2312" w:eastAsia="楷体_GB2312" w:cs="楷体_GB2312"/>
          <w:sz w:val="28"/>
          <w:szCs w:val="28"/>
          <w:lang w:val="en-US" w:eastAsia="zh-CN"/>
        </w:rPr>
      </w:pPr>
      <w:r>
        <w:rPr>
          <w:rFonts w:hint="eastAsia" w:ascii="楷体_GB2312" w:hAnsi="楷体_GB2312" w:eastAsia="楷体_GB2312" w:cs="楷体_GB2312"/>
          <w:sz w:val="28"/>
          <w:szCs w:val="28"/>
          <w:lang w:val="en-US" w:eastAsia="zh-CN"/>
        </w:rPr>
        <w:t>当年一般公共服务支出收入5.94万元，占当年总收入的0.30%</w:t>
      </w:r>
    </w:p>
    <w:p>
      <w:pPr>
        <w:numPr>
          <w:ilvl w:val="0"/>
          <w:numId w:val="0"/>
        </w:numPr>
        <w:spacing w:line="360" w:lineRule="auto"/>
        <w:rPr>
          <w:rFonts w:hint="eastAsia" w:ascii="楷体_GB2312" w:hAnsi="楷体_GB2312" w:eastAsia="楷体_GB2312" w:cs="楷体_GB2312"/>
          <w:sz w:val="28"/>
          <w:szCs w:val="28"/>
          <w:lang w:val="en-US" w:eastAsia="zh-CN"/>
        </w:rPr>
      </w:pPr>
      <w:r>
        <w:rPr>
          <w:rFonts w:hint="eastAsia" w:ascii="楷体_GB2312" w:hAnsi="楷体_GB2312" w:eastAsia="楷体_GB2312" w:cs="楷体_GB2312"/>
          <w:sz w:val="28"/>
          <w:szCs w:val="28"/>
          <w:lang w:val="en-US" w:eastAsia="zh-CN"/>
        </w:rPr>
        <w:t>当年其他教育支出收入1620.12万元，占当年总收入的81.45%</w:t>
      </w:r>
    </w:p>
    <w:p>
      <w:pPr>
        <w:numPr>
          <w:ilvl w:val="0"/>
          <w:numId w:val="0"/>
        </w:numPr>
        <w:spacing w:line="360" w:lineRule="auto"/>
        <w:rPr>
          <w:rFonts w:hint="eastAsia" w:ascii="楷体_GB2312" w:hAnsi="楷体_GB2312" w:eastAsia="楷体_GB2312" w:cs="楷体_GB2312"/>
          <w:sz w:val="28"/>
          <w:szCs w:val="28"/>
          <w:lang w:val="en-US" w:eastAsia="zh-CN"/>
        </w:rPr>
      </w:pPr>
      <w:r>
        <w:rPr>
          <w:rFonts w:hint="eastAsia" w:ascii="楷体_GB2312" w:hAnsi="楷体_GB2312" w:eastAsia="楷体_GB2312" w:cs="楷体_GB2312"/>
          <w:sz w:val="28"/>
          <w:szCs w:val="28"/>
          <w:lang w:val="en-US" w:eastAsia="zh-CN"/>
        </w:rPr>
        <w:t>当年科学技术支出收入0.5万元，占当年总收入的0.03%</w:t>
      </w:r>
    </w:p>
    <w:p>
      <w:pPr>
        <w:numPr>
          <w:ilvl w:val="0"/>
          <w:numId w:val="0"/>
        </w:numPr>
        <w:spacing w:line="360" w:lineRule="auto"/>
        <w:rPr>
          <w:rFonts w:hint="eastAsia" w:ascii="楷体_GB2312" w:hAnsi="楷体_GB2312" w:eastAsia="楷体_GB2312" w:cs="楷体_GB2312"/>
          <w:sz w:val="28"/>
          <w:szCs w:val="28"/>
          <w:lang w:val="en-US" w:eastAsia="zh-CN"/>
        </w:rPr>
      </w:pPr>
      <w:r>
        <w:rPr>
          <w:rFonts w:hint="eastAsia" w:ascii="楷体_GB2312" w:hAnsi="楷体_GB2312" w:eastAsia="楷体_GB2312" w:cs="楷体_GB2312"/>
          <w:sz w:val="28"/>
          <w:szCs w:val="28"/>
          <w:lang w:val="en-US" w:eastAsia="zh-CN"/>
        </w:rPr>
        <w:t>当年社会保障和就业支出收入168.2万元，占当年总收入的8.46%</w:t>
      </w:r>
    </w:p>
    <w:p>
      <w:pPr>
        <w:numPr>
          <w:ilvl w:val="0"/>
          <w:numId w:val="0"/>
        </w:numPr>
        <w:spacing w:line="360" w:lineRule="auto"/>
        <w:rPr>
          <w:rFonts w:hint="eastAsia" w:ascii="楷体_GB2312" w:hAnsi="楷体_GB2312" w:eastAsia="楷体_GB2312" w:cs="楷体_GB2312"/>
          <w:sz w:val="28"/>
          <w:szCs w:val="28"/>
          <w:lang w:val="en-US" w:eastAsia="zh-CN"/>
        </w:rPr>
      </w:pPr>
      <w:r>
        <w:rPr>
          <w:rFonts w:hint="eastAsia" w:ascii="楷体_GB2312" w:hAnsi="楷体_GB2312" w:eastAsia="楷体_GB2312" w:cs="楷体_GB2312"/>
          <w:sz w:val="28"/>
          <w:szCs w:val="28"/>
          <w:lang w:val="en-US" w:eastAsia="zh-CN"/>
        </w:rPr>
        <w:t>当年卫生健康支出收入108.7万元，占当年总收入的5.46%</w:t>
      </w:r>
    </w:p>
    <w:p>
      <w:pPr>
        <w:numPr>
          <w:ilvl w:val="0"/>
          <w:numId w:val="0"/>
        </w:numPr>
        <w:spacing w:line="360" w:lineRule="auto"/>
        <w:rPr>
          <w:rFonts w:hint="eastAsia" w:ascii="楷体_GB2312" w:hAnsi="楷体_GB2312" w:eastAsia="楷体_GB2312" w:cs="楷体_GB2312"/>
          <w:sz w:val="28"/>
          <w:szCs w:val="28"/>
          <w:lang w:val="en-US" w:eastAsia="zh-CN"/>
        </w:rPr>
      </w:pPr>
      <w:r>
        <w:rPr>
          <w:rFonts w:hint="eastAsia" w:ascii="楷体_GB2312" w:hAnsi="楷体_GB2312" w:eastAsia="楷体_GB2312" w:cs="楷体_GB2312"/>
          <w:sz w:val="28"/>
          <w:szCs w:val="28"/>
          <w:lang w:val="en-US" w:eastAsia="zh-CN"/>
        </w:rPr>
        <w:t>当年住房保障支出85.62万元，占当年总收入的4.3%</w:t>
      </w:r>
    </w:p>
    <w:p>
      <w:pPr>
        <w:numPr>
          <w:ilvl w:val="0"/>
          <w:numId w:val="4"/>
        </w:numPr>
        <w:spacing w:line="360" w:lineRule="auto"/>
        <w:ind w:firstLine="560" w:firstLineChars="200"/>
        <w:rPr>
          <w:rFonts w:hint="eastAsia" w:ascii="楷体_GB2312" w:hAnsi="楷体_GB2312" w:eastAsia="楷体_GB2312" w:cs="楷体_GB2312"/>
          <w:sz w:val="28"/>
          <w:szCs w:val="28"/>
          <w:lang w:val="en-US" w:eastAsia="zh-CN"/>
        </w:rPr>
      </w:pPr>
      <w:r>
        <w:rPr>
          <w:rFonts w:hint="eastAsia" w:ascii="楷体_GB2312" w:hAnsi="楷体_GB2312" w:eastAsia="楷体_GB2312" w:cs="楷体_GB2312"/>
          <w:sz w:val="28"/>
          <w:szCs w:val="28"/>
          <w:lang w:val="en-US" w:eastAsia="zh-CN"/>
        </w:rPr>
        <w:t>支出结构分析</w:t>
      </w:r>
    </w:p>
    <w:p>
      <w:pPr>
        <w:numPr>
          <w:ilvl w:val="0"/>
          <w:numId w:val="0"/>
        </w:numPr>
        <w:spacing w:line="360" w:lineRule="auto"/>
        <w:rPr>
          <w:rFonts w:hint="default" w:ascii="楷体_GB2312" w:hAnsi="楷体_GB2312" w:eastAsia="楷体_GB2312" w:cs="楷体_GB2312"/>
          <w:sz w:val="28"/>
          <w:szCs w:val="28"/>
          <w:lang w:val="en-US" w:eastAsia="zh-CN"/>
        </w:rPr>
      </w:pPr>
      <w:r>
        <w:rPr>
          <w:rFonts w:hint="eastAsia" w:ascii="楷体_GB2312" w:hAnsi="楷体_GB2312" w:eastAsia="楷体_GB2312" w:cs="楷体_GB2312"/>
          <w:sz w:val="28"/>
          <w:szCs w:val="28"/>
          <w:lang w:val="en-US" w:eastAsia="zh-CN"/>
        </w:rPr>
        <w:t>当年支出决算2126.30万元，其中：</w:t>
      </w:r>
    </w:p>
    <w:p>
      <w:pPr>
        <w:numPr>
          <w:ilvl w:val="0"/>
          <w:numId w:val="0"/>
        </w:numPr>
        <w:spacing w:line="360" w:lineRule="auto"/>
        <w:rPr>
          <w:rFonts w:hint="eastAsia" w:ascii="楷体_GB2312" w:hAnsi="楷体_GB2312" w:eastAsia="楷体_GB2312" w:cs="楷体_GB2312"/>
          <w:sz w:val="28"/>
          <w:szCs w:val="28"/>
          <w:lang w:val="en-US" w:eastAsia="zh-CN"/>
        </w:rPr>
      </w:pPr>
      <w:r>
        <w:rPr>
          <w:rFonts w:hint="eastAsia" w:ascii="楷体_GB2312" w:hAnsi="楷体_GB2312" w:eastAsia="楷体_GB2312" w:cs="楷体_GB2312"/>
          <w:sz w:val="28"/>
          <w:szCs w:val="28"/>
          <w:lang w:val="en-US" w:eastAsia="zh-CN"/>
        </w:rPr>
        <w:t>当年一般公共服务支出5.94万元，占当年总支出0.28%</w:t>
      </w:r>
    </w:p>
    <w:p>
      <w:pPr>
        <w:numPr>
          <w:ilvl w:val="0"/>
          <w:numId w:val="0"/>
        </w:numPr>
        <w:spacing w:line="360" w:lineRule="auto"/>
        <w:rPr>
          <w:rFonts w:hint="eastAsia" w:ascii="楷体_GB2312" w:hAnsi="楷体_GB2312" w:eastAsia="楷体_GB2312" w:cs="楷体_GB2312"/>
          <w:sz w:val="28"/>
          <w:szCs w:val="28"/>
          <w:lang w:val="en-US" w:eastAsia="zh-CN"/>
        </w:rPr>
      </w:pPr>
      <w:r>
        <w:rPr>
          <w:rFonts w:hint="eastAsia" w:ascii="楷体_GB2312" w:hAnsi="楷体_GB2312" w:eastAsia="楷体_GB2312" w:cs="楷体_GB2312"/>
          <w:sz w:val="28"/>
          <w:szCs w:val="28"/>
          <w:lang w:val="en-US" w:eastAsia="zh-CN"/>
        </w:rPr>
        <w:t>当年其他教育支出1755.34万元，占当年总支出82.55%</w:t>
      </w:r>
    </w:p>
    <w:p>
      <w:pPr>
        <w:numPr>
          <w:ilvl w:val="0"/>
          <w:numId w:val="0"/>
        </w:numPr>
        <w:spacing w:line="360" w:lineRule="auto"/>
        <w:rPr>
          <w:rFonts w:hint="eastAsia" w:ascii="楷体_GB2312" w:hAnsi="楷体_GB2312" w:eastAsia="楷体_GB2312" w:cs="楷体_GB2312"/>
          <w:sz w:val="28"/>
          <w:szCs w:val="28"/>
          <w:lang w:val="en-US" w:eastAsia="zh-CN"/>
        </w:rPr>
      </w:pPr>
      <w:r>
        <w:rPr>
          <w:rFonts w:hint="eastAsia" w:ascii="楷体_GB2312" w:hAnsi="楷体_GB2312" w:eastAsia="楷体_GB2312" w:cs="楷体_GB2312"/>
          <w:sz w:val="28"/>
          <w:szCs w:val="28"/>
          <w:lang w:val="en-US" w:eastAsia="zh-CN"/>
        </w:rPr>
        <w:t>当年社会保障和就业支出168.2万元，占当年总支出7.91%</w:t>
      </w:r>
    </w:p>
    <w:p>
      <w:pPr>
        <w:numPr>
          <w:ilvl w:val="0"/>
          <w:numId w:val="0"/>
        </w:numPr>
        <w:spacing w:line="360" w:lineRule="auto"/>
        <w:rPr>
          <w:rFonts w:hint="eastAsia" w:ascii="楷体_GB2312" w:hAnsi="楷体_GB2312" w:eastAsia="楷体_GB2312" w:cs="楷体_GB2312"/>
          <w:sz w:val="28"/>
          <w:szCs w:val="28"/>
          <w:lang w:val="en-US" w:eastAsia="zh-CN"/>
        </w:rPr>
      </w:pPr>
      <w:r>
        <w:rPr>
          <w:rFonts w:hint="eastAsia" w:ascii="楷体_GB2312" w:hAnsi="楷体_GB2312" w:eastAsia="楷体_GB2312" w:cs="楷体_GB2312"/>
          <w:sz w:val="28"/>
          <w:szCs w:val="28"/>
          <w:lang w:val="en-US" w:eastAsia="zh-CN"/>
        </w:rPr>
        <w:t>当年卫生健康支出108.7万元，占当年总支出的5.11%</w:t>
      </w:r>
    </w:p>
    <w:p>
      <w:pPr>
        <w:numPr>
          <w:ilvl w:val="0"/>
          <w:numId w:val="0"/>
        </w:numPr>
        <w:spacing w:line="360" w:lineRule="auto"/>
        <w:rPr>
          <w:rFonts w:hint="eastAsia" w:ascii="楷体_GB2312" w:hAnsi="楷体_GB2312" w:eastAsia="楷体_GB2312" w:cs="楷体_GB2312"/>
          <w:sz w:val="28"/>
          <w:szCs w:val="28"/>
          <w:lang w:val="en-US" w:eastAsia="zh-CN"/>
        </w:rPr>
      </w:pPr>
      <w:r>
        <w:rPr>
          <w:rFonts w:hint="eastAsia" w:ascii="楷体_GB2312" w:hAnsi="楷体_GB2312" w:eastAsia="楷体_GB2312" w:cs="楷体_GB2312"/>
          <w:sz w:val="28"/>
          <w:szCs w:val="28"/>
          <w:lang w:val="en-US" w:eastAsia="zh-CN"/>
        </w:rPr>
        <w:t>当年住房保障支出85.62万元，占当年总支出4.03%</w:t>
      </w:r>
    </w:p>
    <w:p>
      <w:pPr>
        <w:numPr>
          <w:ilvl w:val="0"/>
          <w:numId w:val="0"/>
        </w:numPr>
        <w:spacing w:line="360" w:lineRule="auto"/>
        <w:rPr>
          <w:rFonts w:hint="eastAsia" w:ascii="楷体_GB2312" w:hAnsi="楷体_GB2312" w:eastAsia="楷体_GB2312" w:cs="楷体_GB2312"/>
          <w:sz w:val="28"/>
          <w:szCs w:val="28"/>
          <w:lang w:val="en-US" w:eastAsia="zh-CN"/>
        </w:rPr>
      </w:pPr>
      <w:r>
        <w:rPr>
          <w:rFonts w:hint="eastAsia" w:ascii="楷体_GB2312" w:hAnsi="楷体_GB2312" w:eastAsia="楷体_GB2312" w:cs="楷体_GB2312"/>
          <w:sz w:val="28"/>
          <w:szCs w:val="28"/>
          <w:lang w:val="en-US" w:eastAsia="zh-CN"/>
        </w:rPr>
        <w:t>当年科学技术支出2.5万元，占当年总收入的0.12%</w:t>
      </w:r>
    </w:p>
    <w:p>
      <w:pPr>
        <w:numPr>
          <w:ilvl w:val="0"/>
          <w:numId w:val="0"/>
        </w:numPr>
        <w:spacing w:line="360" w:lineRule="auto"/>
        <w:ind w:firstLine="560" w:firstLineChars="200"/>
        <w:rPr>
          <w:rFonts w:hint="eastAsia" w:ascii="楷体_GB2312" w:hAnsi="楷体_GB2312" w:eastAsia="楷体_GB2312" w:cs="楷体_GB2312"/>
          <w:sz w:val="28"/>
          <w:szCs w:val="28"/>
          <w:lang w:val="en-US" w:eastAsia="zh-CN"/>
        </w:rPr>
      </w:pPr>
      <w:r>
        <w:rPr>
          <w:rFonts w:hint="eastAsia" w:ascii="楷体_GB2312" w:hAnsi="楷体_GB2312" w:eastAsia="楷体_GB2312" w:cs="楷体_GB2312"/>
          <w:sz w:val="28"/>
          <w:szCs w:val="28"/>
          <w:lang w:val="en-US" w:eastAsia="zh-CN"/>
        </w:rPr>
        <w:t>5、支出按经济分类科目分析。</w:t>
      </w:r>
    </w:p>
    <w:p>
      <w:pPr>
        <w:numPr>
          <w:ilvl w:val="0"/>
          <w:numId w:val="0"/>
        </w:numPr>
        <w:spacing w:line="360" w:lineRule="auto"/>
        <w:ind w:left="420" w:leftChars="0"/>
        <w:rPr>
          <w:rFonts w:hint="eastAsia" w:ascii="楷体_GB2312" w:hAnsi="楷体_GB2312" w:eastAsia="楷体_GB2312" w:cs="楷体_GB2312"/>
          <w:sz w:val="28"/>
          <w:szCs w:val="28"/>
          <w:lang w:val="en-US" w:eastAsia="zh-CN"/>
        </w:rPr>
      </w:pPr>
      <w:r>
        <w:rPr>
          <w:rFonts w:hint="eastAsia" w:ascii="楷体_GB2312" w:hAnsi="楷体_GB2312" w:eastAsia="楷体_GB2312" w:cs="楷体_GB2312"/>
          <w:sz w:val="28"/>
          <w:szCs w:val="28"/>
          <w:lang w:val="en-US" w:eastAsia="zh-CN"/>
        </w:rPr>
        <w:t>（1）“三公”经费支出情况：</w:t>
      </w:r>
    </w:p>
    <w:p>
      <w:pPr>
        <w:numPr>
          <w:ilvl w:val="0"/>
          <w:numId w:val="0"/>
        </w:numPr>
        <w:spacing w:line="360" w:lineRule="auto"/>
        <w:ind w:firstLine="560" w:firstLineChars="200"/>
        <w:rPr>
          <w:rFonts w:hint="eastAsia" w:ascii="楷体_GB2312" w:hAnsi="楷体_GB2312" w:eastAsia="楷体_GB2312" w:cs="楷体_GB2312"/>
          <w:sz w:val="28"/>
          <w:szCs w:val="28"/>
          <w:lang w:val="en-US" w:eastAsia="zh-CN"/>
        </w:rPr>
      </w:pPr>
      <w:r>
        <w:rPr>
          <w:rFonts w:hint="eastAsia" w:ascii="楷体_GB2312" w:hAnsi="楷体_GB2312" w:eastAsia="楷体_GB2312" w:cs="楷体_GB2312"/>
          <w:sz w:val="28"/>
          <w:szCs w:val="28"/>
          <w:lang w:val="en-US" w:eastAsia="zh-CN"/>
        </w:rPr>
        <w:t>本年三公经费年初预算17.45万元，其中公务接待费10.45万元，公务用车运行维护费7万元。本年三公经费决算数10.57万元，其中公务接待费10.06万元，完成预算的57.65%，比上年的10.57万元减少了0.51万元；公务用车运行维护费2.81万元，完成预算的40%，比上年的6.52万元减少3.71万元。主要原因是停用了两台车。</w:t>
      </w:r>
    </w:p>
    <w:p>
      <w:pPr>
        <w:numPr>
          <w:ilvl w:val="0"/>
          <w:numId w:val="0"/>
        </w:numPr>
        <w:spacing w:line="360" w:lineRule="auto"/>
        <w:ind w:firstLine="560" w:firstLineChars="200"/>
        <w:rPr>
          <w:rFonts w:hint="eastAsia" w:ascii="楷体_GB2312" w:hAnsi="楷体_GB2312" w:eastAsia="楷体_GB2312" w:cs="楷体_GB2312"/>
          <w:sz w:val="28"/>
          <w:szCs w:val="28"/>
          <w:lang w:val="en-US" w:eastAsia="zh-CN"/>
        </w:rPr>
      </w:pPr>
      <w:r>
        <w:rPr>
          <w:rFonts w:hint="eastAsia" w:ascii="楷体_GB2312" w:hAnsi="楷体_GB2312" w:eastAsia="楷体_GB2312" w:cs="楷体_GB2312"/>
          <w:sz w:val="28"/>
          <w:szCs w:val="28"/>
          <w:lang w:val="en-US" w:eastAsia="zh-CN"/>
        </w:rPr>
        <w:t>（2）会议费支出情况：</w:t>
      </w:r>
    </w:p>
    <w:p>
      <w:pPr>
        <w:numPr>
          <w:ilvl w:val="0"/>
          <w:numId w:val="0"/>
        </w:numPr>
        <w:spacing w:line="360" w:lineRule="auto"/>
        <w:ind w:firstLine="560" w:firstLineChars="200"/>
        <w:rPr>
          <w:rFonts w:hint="eastAsia" w:ascii="楷体_GB2312" w:hAnsi="楷体_GB2312" w:eastAsia="楷体_GB2312" w:cs="楷体_GB2312"/>
          <w:sz w:val="28"/>
          <w:szCs w:val="28"/>
          <w:lang w:val="en-US" w:eastAsia="zh-CN"/>
        </w:rPr>
      </w:pPr>
      <w:r>
        <w:rPr>
          <w:rFonts w:hint="eastAsia" w:ascii="楷体_GB2312" w:hAnsi="楷体_GB2312" w:eastAsia="楷体_GB2312" w:cs="楷体_GB2312"/>
          <w:sz w:val="28"/>
          <w:szCs w:val="28"/>
          <w:lang w:val="en-US" w:eastAsia="zh-CN"/>
        </w:rPr>
        <w:t>本年会议费支出11.46万元，较上年增加3.71万元。主要是竞赛活动如校运会增加。</w:t>
      </w:r>
    </w:p>
    <w:p>
      <w:pPr>
        <w:numPr>
          <w:ilvl w:val="0"/>
          <w:numId w:val="0"/>
        </w:numPr>
        <w:spacing w:line="360" w:lineRule="auto"/>
        <w:ind w:firstLine="560" w:firstLineChars="200"/>
        <w:rPr>
          <w:rFonts w:hint="eastAsia" w:ascii="楷体_GB2312" w:hAnsi="楷体_GB2312" w:eastAsia="楷体_GB2312" w:cs="楷体_GB2312"/>
          <w:sz w:val="28"/>
          <w:szCs w:val="28"/>
          <w:lang w:val="en-US" w:eastAsia="zh-CN"/>
        </w:rPr>
      </w:pPr>
      <w:r>
        <w:rPr>
          <w:rFonts w:hint="eastAsia" w:ascii="楷体_GB2312" w:hAnsi="楷体_GB2312" w:eastAsia="楷体_GB2312" w:cs="楷体_GB2312"/>
          <w:sz w:val="28"/>
          <w:szCs w:val="28"/>
          <w:lang w:val="en-US" w:eastAsia="zh-CN"/>
        </w:rPr>
        <w:t>（3）培训费支出情况：</w:t>
      </w:r>
    </w:p>
    <w:p>
      <w:pPr>
        <w:numPr>
          <w:ilvl w:val="0"/>
          <w:numId w:val="0"/>
        </w:numPr>
        <w:spacing w:line="360" w:lineRule="auto"/>
        <w:ind w:firstLine="560" w:firstLineChars="200"/>
        <w:rPr>
          <w:rFonts w:hint="eastAsia" w:ascii="楷体_GB2312" w:hAnsi="楷体_GB2312" w:eastAsia="楷体_GB2312" w:cs="楷体_GB2312"/>
          <w:sz w:val="28"/>
          <w:szCs w:val="28"/>
          <w:lang w:val="en-US" w:eastAsia="zh-CN"/>
        </w:rPr>
      </w:pPr>
      <w:r>
        <w:rPr>
          <w:rFonts w:hint="eastAsia" w:ascii="楷体_GB2312" w:hAnsi="楷体_GB2312" w:eastAsia="楷体_GB2312" w:cs="楷体_GB2312"/>
          <w:sz w:val="28"/>
          <w:szCs w:val="28"/>
          <w:lang w:val="en-US" w:eastAsia="zh-CN"/>
        </w:rPr>
        <w:t>本年培训费支出80.67万元，较上年减少25.57万元，主要原因是本年度会计处理科目上下年度不一致。</w:t>
      </w:r>
    </w:p>
    <w:p>
      <w:pPr>
        <w:numPr>
          <w:ilvl w:val="0"/>
          <w:numId w:val="0"/>
        </w:numPr>
        <w:spacing w:line="360" w:lineRule="auto"/>
        <w:ind w:firstLine="560" w:firstLineChars="200"/>
        <w:rPr>
          <w:rFonts w:hint="eastAsia" w:ascii="楷体_GB2312" w:hAnsi="楷体_GB2312" w:eastAsia="楷体_GB2312" w:cs="楷体_GB2312"/>
          <w:b/>
          <w:sz w:val="28"/>
          <w:szCs w:val="28"/>
        </w:rPr>
      </w:pPr>
      <w:r>
        <w:rPr>
          <w:rFonts w:hint="eastAsia" w:ascii="楷体_GB2312" w:hAnsi="楷体_GB2312" w:eastAsia="楷体_GB2312" w:cs="楷体_GB2312"/>
          <w:sz w:val="28"/>
          <w:szCs w:val="28"/>
          <w:lang w:val="en-US" w:eastAsia="zh-CN"/>
        </w:rPr>
        <w:t>6、年末结转和结余情况。</w:t>
      </w:r>
    </w:p>
    <w:p>
      <w:pPr>
        <w:numPr>
          <w:ilvl w:val="0"/>
          <w:numId w:val="0"/>
        </w:numPr>
        <w:spacing w:line="360" w:lineRule="auto"/>
        <w:rPr>
          <w:rFonts w:hint="eastAsia" w:ascii="楷体_GB2312" w:hAnsi="楷体_GB2312" w:eastAsia="楷体_GB2312" w:cs="楷体_GB2312"/>
          <w:sz w:val="28"/>
          <w:szCs w:val="28"/>
          <w:lang w:val="en-US" w:eastAsia="zh-CN"/>
        </w:rPr>
      </w:pPr>
      <w:r>
        <w:rPr>
          <w:rFonts w:hint="eastAsia" w:ascii="楷体_GB2312" w:hAnsi="楷体_GB2312" w:eastAsia="楷体_GB2312" w:cs="楷体_GB2312"/>
          <w:sz w:val="28"/>
          <w:szCs w:val="28"/>
          <w:lang w:val="en-US" w:eastAsia="zh-CN"/>
        </w:rPr>
        <w:t>本年年末累计结转66.46万元，其中项目支出结转66.46万元。</w:t>
      </w:r>
    </w:p>
    <w:p>
      <w:pPr>
        <w:numPr>
          <w:ilvl w:val="0"/>
          <w:numId w:val="0"/>
        </w:numPr>
        <w:spacing w:line="360" w:lineRule="auto"/>
        <w:ind w:firstLine="420"/>
        <w:rPr>
          <w:rFonts w:hint="eastAsia" w:ascii="楷体_GB2312" w:hAnsi="楷体_GB2312" w:eastAsia="楷体_GB2312" w:cs="楷体_GB2312"/>
          <w:b/>
          <w:bCs/>
          <w:sz w:val="28"/>
          <w:szCs w:val="28"/>
          <w:lang w:val="en-US" w:eastAsia="zh-CN"/>
        </w:rPr>
      </w:pPr>
      <w:r>
        <w:rPr>
          <w:rFonts w:hint="eastAsia" w:ascii="楷体_GB2312" w:hAnsi="楷体_GB2312" w:eastAsia="楷体_GB2312" w:cs="楷体_GB2312"/>
          <w:b/>
          <w:bCs/>
          <w:sz w:val="28"/>
          <w:szCs w:val="28"/>
          <w:lang w:val="en-US" w:eastAsia="zh-CN"/>
        </w:rPr>
        <w:t>（二）整体支出绩效目标</w:t>
      </w:r>
    </w:p>
    <w:p>
      <w:pPr>
        <w:numPr>
          <w:ilvl w:val="0"/>
          <w:numId w:val="0"/>
        </w:numPr>
        <w:spacing w:line="360" w:lineRule="auto"/>
        <w:ind w:firstLine="420"/>
        <w:rPr>
          <w:rFonts w:hint="default" w:ascii="楷体_GB2312" w:hAnsi="楷体_GB2312" w:eastAsia="楷体_GB2312" w:cs="楷体_GB2312"/>
          <w:sz w:val="28"/>
          <w:szCs w:val="28"/>
          <w:lang w:val="en-US" w:eastAsia="zh-CN"/>
        </w:rPr>
      </w:pPr>
      <w:r>
        <w:rPr>
          <w:rFonts w:hint="eastAsia" w:ascii="楷体_GB2312" w:hAnsi="楷体_GB2312" w:eastAsia="楷体_GB2312" w:cs="楷体_GB2312"/>
          <w:sz w:val="28"/>
          <w:szCs w:val="28"/>
          <w:lang w:val="en-US" w:eastAsia="zh-CN"/>
        </w:rPr>
        <w:t>个性指标：2020年市委市政府对党校绩效考核工作有四项：一是完成市委组织部下达的调训主体班8期，培训学员520人，超往年培训人数30%。承接市委办、市委组织部等17家市直单位和部门、企业和资阳、赫山两区单位来校召开会议、举办短期培训班共计39期，培训学员达5020人次，得到办班单位、部门的一至好评。二是联络与业务指导工作全面展开。年内联系指导桃江、安化、沅江、南县等四县市党校工作11次，向省校上报各类材料19项；三是为贯彻落实《中国共产党党校（行政学院）工作条例》和全国、全省党校校长会议精神，召开了全市党校校长会议，利用中央党校、省委党校和市委党校的教育培训网络，为县市党校提供了培训动态、课程点播、培训管理与信息交流等服务；四是举办了全市党校系统第十四次教学教学比赛暨精评课评选和学习贯彻党的十九届四中全会精神理论研讨会暨科研工作会。</w:t>
      </w:r>
    </w:p>
    <w:p>
      <w:pPr>
        <w:numPr>
          <w:ilvl w:val="0"/>
          <w:numId w:val="0"/>
        </w:numPr>
        <w:spacing w:line="360" w:lineRule="auto"/>
        <w:ind w:firstLine="560" w:firstLineChars="200"/>
        <w:rPr>
          <w:rFonts w:hint="eastAsia" w:ascii="楷体_GB2312" w:hAnsi="楷体_GB2312" w:eastAsia="楷体_GB2312" w:cs="楷体_GB2312"/>
          <w:sz w:val="28"/>
          <w:szCs w:val="28"/>
          <w:lang w:val="en-US" w:eastAsia="zh-CN"/>
        </w:rPr>
      </w:pPr>
      <w:r>
        <w:rPr>
          <w:rFonts w:hint="eastAsia" w:ascii="楷体_GB2312" w:hAnsi="楷体_GB2312" w:eastAsia="楷体_GB2312" w:cs="楷体_GB2312"/>
          <w:sz w:val="28"/>
          <w:szCs w:val="28"/>
          <w:lang w:val="en-US" w:eastAsia="zh-CN"/>
        </w:rPr>
        <w:t>预决算公开：我校切实按照财政部门的要求，做到了部门预算公开内容完整，包括部门主要职责及部门预算单位构成、包括本级预算和所属单位预算在内的汇总预算、财政拨款收支总表、一般公共预算支出表、一般公共预算基本支出表、一般公共预算“三公”经费支出表、部门收支总表、部门收入总表和部门支出总表等，我校都一一按预决算公开的要求，在校园网上进行了预决算公开。</w:t>
      </w:r>
    </w:p>
    <w:p>
      <w:pPr>
        <w:numPr>
          <w:ilvl w:val="0"/>
          <w:numId w:val="0"/>
        </w:numPr>
        <w:spacing w:line="360" w:lineRule="auto"/>
        <w:ind w:firstLine="560" w:firstLineChars="200"/>
        <w:rPr>
          <w:rFonts w:hint="eastAsia" w:ascii="楷体_GB2312" w:hAnsi="楷体_GB2312" w:eastAsia="楷体_GB2312" w:cs="楷体_GB2312"/>
          <w:sz w:val="28"/>
          <w:szCs w:val="28"/>
          <w:lang w:val="en-US" w:eastAsia="zh-CN"/>
        </w:rPr>
      </w:pPr>
      <w:r>
        <w:rPr>
          <w:rFonts w:hint="eastAsia" w:ascii="楷体_GB2312" w:hAnsi="楷体_GB2312" w:eastAsia="楷体_GB2312" w:cs="楷体_GB2312"/>
          <w:sz w:val="28"/>
          <w:szCs w:val="28"/>
          <w:lang w:val="en-US" w:eastAsia="zh-CN"/>
        </w:rPr>
        <w:t>资产管理：我们进一步加强资产的管理，制定了《市委党校财务管理的规定》等制度，明确了具体责任人，完善了固定资产档案，严格报批、销审等手续，固定资产处置时，按账面原值同时注销财务账和实物账，做好资产管理台账，单位无资产流失现象。</w:t>
      </w:r>
    </w:p>
    <w:p>
      <w:pPr>
        <w:numPr>
          <w:ilvl w:val="0"/>
          <w:numId w:val="0"/>
        </w:numPr>
        <w:spacing w:line="360" w:lineRule="auto"/>
        <w:ind w:firstLine="560" w:firstLineChars="200"/>
        <w:rPr>
          <w:rFonts w:hint="eastAsia" w:ascii="楷体_GB2312" w:hAnsi="楷体_GB2312" w:eastAsia="楷体_GB2312" w:cs="楷体_GB2312"/>
          <w:sz w:val="28"/>
          <w:szCs w:val="28"/>
          <w:lang w:val="en-US" w:eastAsia="zh-CN"/>
        </w:rPr>
      </w:pPr>
      <w:r>
        <w:rPr>
          <w:rFonts w:hint="eastAsia" w:ascii="楷体_GB2312" w:hAnsi="楷体_GB2312" w:eastAsia="楷体_GB2312" w:cs="楷体_GB2312"/>
          <w:sz w:val="28"/>
          <w:szCs w:val="28"/>
          <w:lang w:val="en-US" w:eastAsia="zh-CN"/>
        </w:rPr>
        <w:t>内控管理：制定了《中共益阳市委党校内部控制手册》，通过内部控制建设，重新审视和梳理现行的各项管理制度，进一步创新管理机制，强化、优化管理措施，提高及时发现和有效处置风险的能力，做到有章可循，未雨稠谋，心中有数，计划准确，实现“全员、全面、全过程”内控机制。</w:t>
      </w:r>
    </w:p>
    <w:p>
      <w:pPr>
        <w:numPr>
          <w:ilvl w:val="0"/>
          <w:numId w:val="0"/>
        </w:numPr>
        <w:spacing w:line="360" w:lineRule="auto"/>
        <w:ind w:firstLine="560" w:firstLineChars="200"/>
        <w:rPr>
          <w:rFonts w:hint="eastAsia" w:ascii="楷体_GB2312" w:hAnsi="楷体_GB2312" w:eastAsia="楷体_GB2312" w:cs="楷体_GB2312"/>
          <w:sz w:val="28"/>
          <w:szCs w:val="28"/>
          <w:lang w:val="en-US" w:eastAsia="zh-CN"/>
        </w:rPr>
      </w:pPr>
      <w:r>
        <w:rPr>
          <w:rFonts w:hint="eastAsia" w:ascii="楷体_GB2312" w:hAnsi="楷体_GB2312" w:eastAsia="楷体_GB2312" w:cs="楷体_GB2312"/>
          <w:sz w:val="28"/>
          <w:szCs w:val="28"/>
          <w:lang w:val="en-US" w:eastAsia="zh-CN"/>
        </w:rPr>
        <w:t>三公经费控制情况：贯彻落实上级有关精神，坚持厉行节约，进一步优化支出结构，严格控制“三公经费”支出，取得了良好的效果，2020年三公经费年初预算17.45万元，其中公务接待费10.45万元，公务用车运行维护费7万元。本年三公经费决算数12.87万元，其中公务接待费10.06万元，完成预算的57.65%，比上年减少了0.51万元；公务用车运行维护费2.81万元，完成预算的40%，比上年减少3.71万元。</w:t>
      </w:r>
    </w:p>
    <w:p>
      <w:pPr>
        <w:numPr>
          <w:ilvl w:val="0"/>
          <w:numId w:val="0"/>
        </w:numPr>
        <w:spacing w:line="360" w:lineRule="auto"/>
        <w:ind w:firstLine="560" w:firstLineChars="200"/>
        <w:rPr>
          <w:rFonts w:hint="eastAsia" w:ascii="楷体_GB2312" w:hAnsi="楷体_GB2312" w:eastAsia="楷体_GB2312" w:cs="楷体_GB2312"/>
          <w:sz w:val="28"/>
          <w:szCs w:val="28"/>
          <w:lang w:val="en-US" w:eastAsia="zh-CN"/>
        </w:rPr>
      </w:pPr>
      <w:r>
        <w:rPr>
          <w:rFonts w:hint="eastAsia" w:ascii="楷体_GB2312" w:hAnsi="楷体_GB2312" w:eastAsia="楷体_GB2312" w:cs="楷体_GB2312"/>
          <w:sz w:val="28"/>
          <w:szCs w:val="28"/>
          <w:lang w:val="en-US" w:eastAsia="zh-CN"/>
        </w:rPr>
        <w:t>（三）部门整体支出情况分析</w:t>
      </w:r>
    </w:p>
    <w:p>
      <w:pPr>
        <w:numPr>
          <w:ilvl w:val="0"/>
          <w:numId w:val="0"/>
        </w:numPr>
        <w:spacing w:line="360" w:lineRule="auto"/>
        <w:ind w:firstLine="420"/>
        <w:rPr>
          <w:rFonts w:hint="eastAsia" w:ascii="楷体_GB2312" w:hAnsi="楷体_GB2312" w:eastAsia="楷体_GB2312" w:cs="楷体_GB2312"/>
          <w:sz w:val="28"/>
          <w:szCs w:val="28"/>
          <w:lang w:val="en-US" w:eastAsia="zh-CN"/>
        </w:rPr>
      </w:pPr>
      <w:r>
        <w:rPr>
          <w:rFonts w:hint="eastAsia" w:ascii="楷体_GB2312" w:hAnsi="楷体_GB2312" w:eastAsia="楷体_GB2312" w:cs="楷体_GB2312"/>
          <w:sz w:val="28"/>
          <w:szCs w:val="28"/>
          <w:lang w:val="en-US" w:eastAsia="zh-CN"/>
        </w:rPr>
        <w:t>从整体情况来看，我校严格按照年初预算进行部门整体支出，在支出过程中，能严格遵守各项规章制度，严格控制“三公经费”，逐年下降，所有支出项目都实行先预算再支出，基建工程严格招投标，并加强监督，在专项经费支出上，严格执行了专款专用制度，工程项目按进度进行资金拨付，无挪用滥用资金现象。</w:t>
      </w:r>
    </w:p>
    <w:p>
      <w:pPr>
        <w:numPr>
          <w:ilvl w:val="0"/>
          <w:numId w:val="0"/>
        </w:numPr>
        <w:spacing w:line="360" w:lineRule="auto"/>
        <w:ind w:firstLine="420"/>
        <w:rPr>
          <w:rFonts w:hint="eastAsia" w:ascii="楷体_GB2312" w:hAnsi="楷体_GB2312" w:eastAsia="楷体_GB2312" w:cs="楷体_GB2312"/>
          <w:sz w:val="28"/>
          <w:szCs w:val="28"/>
          <w:lang w:val="en-US" w:eastAsia="zh-CN"/>
        </w:rPr>
      </w:pPr>
      <w:r>
        <w:rPr>
          <w:rFonts w:hint="eastAsia" w:ascii="楷体_GB2312" w:hAnsi="楷体_GB2312" w:eastAsia="楷体_GB2312" w:cs="楷体_GB2312"/>
          <w:sz w:val="28"/>
          <w:szCs w:val="28"/>
          <w:lang w:val="en-US" w:eastAsia="zh-CN"/>
        </w:rPr>
        <w:t>三、部门整体支出绩效评价工作情况</w:t>
      </w:r>
    </w:p>
    <w:p>
      <w:pPr>
        <w:numPr>
          <w:ilvl w:val="0"/>
          <w:numId w:val="0"/>
        </w:numPr>
        <w:spacing w:line="360" w:lineRule="auto"/>
        <w:ind w:firstLine="420"/>
        <w:rPr>
          <w:rFonts w:hint="eastAsia" w:ascii="楷体_GB2312" w:hAnsi="楷体_GB2312" w:eastAsia="楷体_GB2312" w:cs="楷体_GB2312"/>
          <w:sz w:val="28"/>
          <w:szCs w:val="28"/>
          <w:lang w:val="en-US" w:eastAsia="zh-CN"/>
        </w:rPr>
      </w:pPr>
      <w:r>
        <w:rPr>
          <w:rFonts w:hint="eastAsia" w:ascii="楷体_GB2312" w:hAnsi="楷体_GB2312" w:eastAsia="楷体_GB2312" w:cs="楷体_GB2312"/>
          <w:sz w:val="28"/>
          <w:szCs w:val="28"/>
          <w:lang w:val="en-US" w:eastAsia="zh-CN"/>
        </w:rPr>
        <w:t>（一）绩效评价目的：贯彻落实《预算法》，严格执行省、市、区绩效管理工作有关规定，进一步规范财政资金管理，强化财政支出绩效理念，提升部门责任意识，提高资金使用效益，促进各项工作水平进一步提升。</w:t>
      </w:r>
    </w:p>
    <w:p>
      <w:pPr>
        <w:numPr>
          <w:ilvl w:val="0"/>
          <w:numId w:val="0"/>
        </w:numPr>
        <w:spacing w:line="360" w:lineRule="auto"/>
        <w:ind w:firstLine="420"/>
        <w:rPr>
          <w:rFonts w:hint="eastAsia" w:ascii="楷体_GB2312" w:hAnsi="楷体_GB2312" w:eastAsia="楷体_GB2312" w:cs="楷体_GB2312"/>
          <w:sz w:val="28"/>
          <w:szCs w:val="28"/>
          <w:lang w:val="en-US" w:eastAsia="zh-CN"/>
        </w:rPr>
      </w:pPr>
      <w:r>
        <w:rPr>
          <w:rFonts w:hint="eastAsia" w:ascii="楷体_GB2312" w:hAnsi="楷体_GB2312" w:eastAsia="楷体_GB2312" w:cs="楷体_GB2312"/>
          <w:sz w:val="28"/>
          <w:szCs w:val="28"/>
          <w:lang w:val="en-US" w:eastAsia="zh-CN"/>
        </w:rPr>
        <w:t>（二）绩效评价的主要过程：根据绩效评价的要求，成立了自评工作领导小组，对照自评方案进行研究布署，班子成员及财务人员全程参与，按照自评方案的要求，对照各实施项目的内容逐条逐项自评，及时发现问题，查找原因，纠正偏差，为下一步工作夯实基础。</w:t>
      </w:r>
    </w:p>
    <w:p>
      <w:pPr>
        <w:numPr>
          <w:ilvl w:val="0"/>
          <w:numId w:val="0"/>
        </w:numPr>
        <w:spacing w:line="360" w:lineRule="auto"/>
        <w:ind w:firstLine="560" w:firstLineChars="200"/>
        <w:rPr>
          <w:rFonts w:hint="eastAsia" w:ascii="楷体_GB2312" w:hAnsi="楷体_GB2312" w:eastAsia="楷体_GB2312" w:cs="楷体_GB2312"/>
          <w:sz w:val="28"/>
          <w:szCs w:val="28"/>
          <w:lang w:val="en-US" w:eastAsia="zh-CN"/>
        </w:rPr>
      </w:pPr>
      <w:r>
        <w:rPr>
          <w:rFonts w:hint="eastAsia" w:ascii="楷体_GB2312" w:hAnsi="楷体_GB2312" w:eastAsia="楷体_GB2312" w:cs="楷体_GB2312"/>
          <w:sz w:val="28"/>
          <w:szCs w:val="28"/>
          <w:lang w:val="en-US" w:eastAsia="zh-CN"/>
        </w:rPr>
        <w:t>四、主要绩效及评价结论</w:t>
      </w:r>
    </w:p>
    <w:p>
      <w:pPr>
        <w:numPr>
          <w:ilvl w:val="0"/>
          <w:numId w:val="0"/>
        </w:numPr>
        <w:spacing w:line="360" w:lineRule="auto"/>
        <w:ind w:firstLine="560" w:firstLineChars="200"/>
        <w:rPr>
          <w:rFonts w:hint="eastAsia" w:ascii="楷体_GB2312" w:hAnsi="楷体_GB2312" w:eastAsia="楷体_GB2312" w:cs="楷体_GB2312"/>
          <w:sz w:val="28"/>
          <w:szCs w:val="28"/>
          <w:lang w:val="en-US" w:eastAsia="zh-CN"/>
        </w:rPr>
      </w:pPr>
      <w:r>
        <w:rPr>
          <w:rFonts w:hint="eastAsia" w:ascii="楷体_GB2312" w:hAnsi="楷体_GB2312" w:eastAsia="楷体_GB2312" w:cs="楷体_GB2312"/>
          <w:sz w:val="28"/>
          <w:szCs w:val="28"/>
          <w:lang w:val="en-US" w:eastAsia="zh-CN"/>
        </w:rPr>
        <w:t>（一）经济性分析：当年财政拨款收入决算1983.02万元，比上年减少0.83%，当年财政拨款支出决算1949.84万元，比上年减少17.24%，其中基本支出1731.39万元，比上年减少26.26%，项目支出218.45万元，比上年增加2665.19%，上年主体班成本费列入了基本支出。按支出经济分类来看，工资福利支出1280.87万元，比上年减少7.37%，商品服务支出454.9万元，比上年减少31.18%，对个人和家庭的补助支出199.17万元，比上年增加24.03%，资本性支出14.89万元，比上年减少90.18%。</w:t>
      </w:r>
    </w:p>
    <w:p>
      <w:pPr>
        <w:numPr>
          <w:ilvl w:val="0"/>
          <w:numId w:val="0"/>
        </w:numPr>
        <w:spacing w:line="360" w:lineRule="auto"/>
        <w:ind w:firstLine="480"/>
        <w:rPr>
          <w:rFonts w:hint="eastAsia" w:ascii="楷体_GB2312" w:hAnsi="楷体_GB2312" w:eastAsia="楷体_GB2312" w:cs="楷体_GB2312"/>
          <w:sz w:val="28"/>
          <w:szCs w:val="28"/>
          <w:lang w:val="en-US" w:eastAsia="zh-CN"/>
        </w:rPr>
      </w:pPr>
      <w:r>
        <w:rPr>
          <w:rFonts w:hint="eastAsia" w:ascii="楷体_GB2312" w:hAnsi="楷体_GB2312" w:eastAsia="楷体_GB2312" w:cs="楷体_GB2312"/>
          <w:sz w:val="28"/>
          <w:szCs w:val="28"/>
          <w:lang w:val="en-US" w:eastAsia="zh-CN"/>
        </w:rPr>
        <w:t>2020年，市委党校围绕党的中心任务和市委市政府的重大决策和战略部署，对重大理论和现实问题展开科学研究，为教学和社会实践服务，为市委市政府的科学决策服务。根据市委对全市干部队伍建设的要求，会同组织、人事、统战等部门制定的培训计划，完成了全年培训任务，教学测评率达到了99%以上。</w:t>
      </w:r>
    </w:p>
    <w:p>
      <w:pPr>
        <w:numPr>
          <w:ilvl w:val="0"/>
          <w:numId w:val="0"/>
        </w:numPr>
        <w:spacing w:line="360" w:lineRule="auto"/>
        <w:ind w:firstLine="480"/>
        <w:rPr>
          <w:rFonts w:hint="eastAsia" w:ascii="楷体_GB2312" w:hAnsi="楷体_GB2312" w:eastAsia="楷体_GB2312" w:cs="楷体_GB2312"/>
          <w:sz w:val="28"/>
          <w:szCs w:val="28"/>
          <w:lang w:val="en-US" w:eastAsia="zh-CN"/>
        </w:rPr>
      </w:pPr>
      <w:r>
        <w:rPr>
          <w:rFonts w:hint="eastAsia" w:ascii="楷体_GB2312" w:hAnsi="楷体_GB2312" w:eastAsia="楷体_GB2312" w:cs="楷体_GB2312"/>
          <w:sz w:val="28"/>
          <w:szCs w:val="28"/>
          <w:lang w:val="en-US" w:eastAsia="zh-CN"/>
        </w:rPr>
        <w:t>五、存在的问题及原因分析</w:t>
      </w:r>
    </w:p>
    <w:p>
      <w:pPr>
        <w:numPr>
          <w:ilvl w:val="0"/>
          <w:numId w:val="0"/>
        </w:numPr>
        <w:spacing w:line="360" w:lineRule="auto"/>
        <w:ind w:firstLine="480"/>
        <w:rPr>
          <w:rFonts w:hint="eastAsia" w:ascii="楷体_GB2312" w:hAnsi="楷体_GB2312" w:eastAsia="楷体_GB2312" w:cs="楷体_GB2312"/>
          <w:sz w:val="28"/>
          <w:szCs w:val="28"/>
          <w:lang w:val="en-US" w:eastAsia="zh-CN"/>
        </w:rPr>
      </w:pPr>
      <w:r>
        <w:rPr>
          <w:rFonts w:hint="eastAsia" w:ascii="楷体_GB2312" w:hAnsi="楷体_GB2312" w:eastAsia="楷体_GB2312" w:cs="楷体_GB2312"/>
          <w:sz w:val="28"/>
          <w:szCs w:val="28"/>
          <w:lang w:val="en-US" w:eastAsia="zh-CN"/>
        </w:rPr>
        <w:t>部分专项资金存在使用范围不明确，加上以前年度资金下达滞后，导致资金使用进度缓慢。</w:t>
      </w:r>
    </w:p>
    <w:p>
      <w:pPr>
        <w:numPr>
          <w:ilvl w:val="0"/>
          <w:numId w:val="0"/>
        </w:numPr>
        <w:spacing w:line="360" w:lineRule="auto"/>
        <w:ind w:firstLine="480"/>
        <w:rPr>
          <w:rFonts w:hint="eastAsia" w:ascii="楷体_GB2312" w:hAnsi="楷体_GB2312" w:eastAsia="楷体_GB2312" w:cs="楷体_GB2312"/>
          <w:sz w:val="28"/>
          <w:szCs w:val="28"/>
          <w:lang w:val="en-US" w:eastAsia="zh-CN"/>
        </w:rPr>
      </w:pPr>
      <w:r>
        <w:rPr>
          <w:rFonts w:hint="eastAsia" w:ascii="楷体_GB2312" w:hAnsi="楷体_GB2312" w:eastAsia="楷体_GB2312" w:cs="楷体_GB2312"/>
          <w:sz w:val="28"/>
          <w:szCs w:val="28"/>
          <w:lang w:val="en-US" w:eastAsia="zh-CN"/>
        </w:rPr>
        <w:t>六、下一步改进措施</w:t>
      </w:r>
    </w:p>
    <w:p>
      <w:pPr>
        <w:numPr>
          <w:ilvl w:val="0"/>
          <w:numId w:val="0"/>
        </w:numPr>
        <w:spacing w:line="360" w:lineRule="auto"/>
        <w:ind w:firstLine="480"/>
        <w:rPr>
          <w:rFonts w:hint="eastAsia" w:ascii="楷体_GB2312" w:hAnsi="楷体_GB2312" w:eastAsia="楷体_GB2312" w:cs="楷体_GB2312"/>
          <w:sz w:val="28"/>
          <w:szCs w:val="28"/>
          <w:lang w:val="en-US" w:eastAsia="zh-CN"/>
        </w:rPr>
      </w:pPr>
      <w:r>
        <w:rPr>
          <w:rFonts w:hint="eastAsia" w:ascii="楷体_GB2312" w:hAnsi="楷体_GB2312" w:eastAsia="楷体_GB2312" w:cs="楷体_GB2312"/>
          <w:sz w:val="28"/>
          <w:szCs w:val="28"/>
          <w:lang w:val="en-US" w:eastAsia="zh-CN"/>
        </w:rPr>
        <w:t>我校在预算绩效管理方面还有待改进和完善，整体支出绩效报告也是在初步摸索的过程中编制的，需要不断地规范和完善。下一步，我校将进一步健全和完善财务管理制度及内部控制制度，不断更新管理思路，在规范收支和控制经费增长上，创新管理员手断，用新思路、新方法，改进和完善财务管理办法。按照财政支出绩效管理的要求，建立科学的财政资金效益考评制度体系，不断提高财政资金使用管理的水平和效率。</w:t>
      </w:r>
    </w:p>
    <w:p>
      <w:pPr>
        <w:numPr>
          <w:ilvl w:val="0"/>
          <w:numId w:val="5"/>
        </w:numPr>
        <w:spacing w:line="360" w:lineRule="auto"/>
        <w:ind w:firstLine="480"/>
        <w:rPr>
          <w:rFonts w:hint="eastAsia" w:ascii="楷体_GB2312" w:hAnsi="楷体_GB2312" w:eastAsia="楷体_GB2312" w:cs="楷体_GB2312"/>
          <w:sz w:val="28"/>
          <w:szCs w:val="28"/>
          <w:lang w:val="en-US" w:eastAsia="zh-CN"/>
        </w:rPr>
      </w:pPr>
      <w:r>
        <w:rPr>
          <w:rFonts w:hint="eastAsia" w:ascii="楷体_GB2312" w:hAnsi="楷体_GB2312" w:eastAsia="楷体_GB2312" w:cs="楷体_GB2312"/>
          <w:sz w:val="28"/>
          <w:szCs w:val="28"/>
          <w:lang w:val="en-US" w:eastAsia="zh-CN"/>
        </w:rPr>
        <w:t>部门整体支出绩效自评结果拟应用和公开情况</w:t>
      </w:r>
    </w:p>
    <w:p>
      <w:pPr>
        <w:numPr>
          <w:ilvl w:val="0"/>
          <w:numId w:val="0"/>
        </w:numPr>
        <w:spacing w:line="360" w:lineRule="auto"/>
        <w:ind w:firstLine="560"/>
        <w:rPr>
          <w:rFonts w:hint="default" w:ascii="楷体_GB2312" w:hAnsi="楷体_GB2312" w:eastAsia="楷体_GB2312" w:cs="楷体_GB2312"/>
          <w:sz w:val="28"/>
          <w:szCs w:val="28"/>
          <w:lang w:val="en-US" w:eastAsia="zh-CN"/>
        </w:rPr>
      </w:pPr>
      <w:r>
        <w:rPr>
          <w:rFonts w:hint="eastAsia" w:ascii="楷体_GB2312" w:hAnsi="楷体_GB2312" w:eastAsia="楷体_GB2312" w:cs="楷体_GB2312"/>
          <w:sz w:val="28"/>
          <w:szCs w:val="28"/>
          <w:lang w:val="en-US" w:eastAsia="zh-CN"/>
        </w:rPr>
        <w:t>已按要求在党校门户网站公开：部门整体支出绩效评价基础数据表和部门整体支出绩效自评报告。</w:t>
      </w:r>
    </w:p>
    <w:p>
      <w:pPr>
        <w:numPr>
          <w:ilvl w:val="0"/>
          <w:numId w:val="0"/>
        </w:numPr>
        <w:spacing w:line="360" w:lineRule="auto"/>
        <w:ind w:left="420" w:leftChars="0"/>
        <w:rPr>
          <w:rFonts w:hint="eastAsia" w:ascii="楷体_GB2312" w:hAnsi="楷体_GB2312" w:eastAsia="楷体_GB2312" w:cs="楷体_GB2312"/>
          <w:sz w:val="28"/>
          <w:szCs w:val="28"/>
          <w:lang w:val="en-US" w:eastAsia="zh-CN"/>
        </w:rPr>
      </w:pPr>
      <w:bookmarkStart w:id="0" w:name="_GoBack"/>
      <w:bookmarkEnd w:id="0"/>
    </w:p>
    <w:p>
      <w:pPr>
        <w:numPr>
          <w:ilvl w:val="0"/>
          <w:numId w:val="0"/>
        </w:numPr>
        <w:spacing w:line="360" w:lineRule="auto"/>
        <w:ind w:left="420" w:leftChars="0"/>
        <w:rPr>
          <w:rFonts w:hint="eastAsia" w:ascii="楷体_GB2312" w:hAnsi="楷体_GB2312" w:eastAsia="楷体_GB2312" w:cs="楷体_GB2312"/>
          <w:sz w:val="28"/>
          <w:szCs w:val="28"/>
          <w:lang w:val="en-US" w:eastAsia="zh-CN"/>
        </w:rPr>
      </w:pPr>
      <w:r>
        <w:rPr>
          <w:rFonts w:hint="eastAsia" w:ascii="楷体_GB2312" w:hAnsi="楷体_GB2312" w:eastAsia="楷体_GB2312" w:cs="楷体_GB2312"/>
          <w:sz w:val="28"/>
          <w:szCs w:val="28"/>
          <w:lang w:val="en-US" w:eastAsia="zh-CN"/>
        </w:rPr>
        <w:t xml:space="preserve">                                        中共益阳市委党校</w:t>
      </w:r>
    </w:p>
    <w:p>
      <w:pPr>
        <w:numPr>
          <w:ilvl w:val="0"/>
          <w:numId w:val="0"/>
        </w:numPr>
        <w:spacing w:line="360" w:lineRule="auto"/>
        <w:ind w:firstLine="480"/>
        <w:rPr>
          <w:rFonts w:hint="eastAsia" w:ascii="楷体_GB2312" w:hAnsi="楷体_GB2312" w:eastAsia="楷体_GB2312" w:cs="楷体_GB2312"/>
          <w:sz w:val="28"/>
          <w:szCs w:val="28"/>
          <w:lang w:val="en-US" w:eastAsia="zh-CN"/>
        </w:rPr>
      </w:pPr>
      <w:r>
        <w:rPr>
          <w:rFonts w:hint="eastAsia" w:ascii="楷体_GB2312" w:hAnsi="楷体_GB2312" w:eastAsia="楷体_GB2312" w:cs="楷体_GB2312"/>
          <w:sz w:val="28"/>
          <w:szCs w:val="28"/>
          <w:lang w:val="en-US" w:eastAsia="zh-CN"/>
        </w:rPr>
        <w:t>　　　　　　　　　　　　　　　　　　　　2021年4月8日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34D7A3"/>
    <w:multiLevelType w:val="singleLevel"/>
    <w:tmpl w:val="9834D7A3"/>
    <w:lvl w:ilvl="0" w:tentative="0">
      <w:start w:val="2"/>
      <w:numFmt w:val="decimal"/>
      <w:suff w:val="nothing"/>
      <w:lvlText w:val="（%1）"/>
      <w:lvlJc w:val="left"/>
    </w:lvl>
  </w:abstractNum>
  <w:abstractNum w:abstractNumId="1">
    <w:nsid w:val="ADF740DC"/>
    <w:multiLevelType w:val="singleLevel"/>
    <w:tmpl w:val="ADF740DC"/>
    <w:lvl w:ilvl="0" w:tentative="0">
      <w:start w:val="7"/>
      <w:numFmt w:val="chineseCounting"/>
      <w:suff w:val="nothing"/>
      <w:lvlText w:val="%1、"/>
      <w:lvlJc w:val="left"/>
      <w:rPr>
        <w:rFonts w:hint="eastAsia"/>
      </w:rPr>
    </w:lvl>
  </w:abstractNum>
  <w:abstractNum w:abstractNumId="2">
    <w:nsid w:val="2E02E585"/>
    <w:multiLevelType w:val="singleLevel"/>
    <w:tmpl w:val="2E02E585"/>
    <w:lvl w:ilvl="0" w:tentative="0">
      <w:start w:val="1"/>
      <w:numFmt w:val="decimal"/>
      <w:suff w:val="nothing"/>
      <w:lvlText w:val="%1、"/>
      <w:lvlJc w:val="left"/>
    </w:lvl>
  </w:abstractNum>
  <w:abstractNum w:abstractNumId="3">
    <w:nsid w:val="580D6405"/>
    <w:multiLevelType w:val="singleLevel"/>
    <w:tmpl w:val="580D6405"/>
    <w:lvl w:ilvl="0" w:tentative="0">
      <w:start w:val="1"/>
      <w:numFmt w:val="decimal"/>
      <w:suff w:val="nothing"/>
      <w:lvlText w:val="%1、"/>
      <w:lvlJc w:val="left"/>
    </w:lvl>
  </w:abstractNum>
  <w:abstractNum w:abstractNumId="4">
    <w:nsid w:val="5AD154AB"/>
    <w:multiLevelType w:val="singleLevel"/>
    <w:tmpl w:val="5AD154AB"/>
    <w:lvl w:ilvl="0" w:tentative="0">
      <w:start w:val="1"/>
      <w:numFmt w:val="chineseCounting"/>
      <w:suff w:val="nothing"/>
      <w:lvlText w:val="%1、"/>
      <w:lvlJc w:val="left"/>
      <w:rPr>
        <w:rFonts w:hint="eastAsia"/>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9D03B8"/>
    <w:rsid w:val="01C969FE"/>
    <w:rsid w:val="01FF254B"/>
    <w:rsid w:val="0F52453B"/>
    <w:rsid w:val="0FAA187F"/>
    <w:rsid w:val="144539C0"/>
    <w:rsid w:val="15281AFC"/>
    <w:rsid w:val="1655545C"/>
    <w:rsid w:val="17DA26EC"/>
    <w:rsid w:val="1A083DB6"/>
    <w:rsid w:val="1B4D27EA"/>
    <w:rsid w:val="1BFF3271"/>
    <w:rsid w:val="1E2665CD"/>
    <w:rsid w:val="1E8A010E"/>
    <w:rsid w:val="1FB1723E"/>
    <w:rsid w:val="1FE26EFD"/>
    <w:rsid w:val="210C4A85"/>
    <w:rsid w:val="25063514"/>
    <w:rsid w:val="26273103"/>
    <w:rsid w:val="2675053A"/>
    <w:rsid w:val="2E314340"/>
    <w:rsid w:val="2ED1762B"/>
    <w:rsid w:val="358E336B"/>
    <w:rsid w:val="3C1D7967"/>
    <w:rsid w:val="417F4D49"/>
    <w:rsid w:val="4496571C"/>
    <w:rsid w:val="4A3E2CA3"/>
    <w:rsid w:val="4DBB0F48"/>
    <w:rsid w:val="4FCF5F7C"/>
    <w:rsid w:val="53DD731F"/>
    <w:rsid w:val="541B4828"/>
    <w:rsid w:val="5B61577C"/>
    <w:rsid w:val="60A82E83"/>
    <w:rsid w:val="63E30A52"/>
    <w:rsid w:val="67F17A57"/>
    <w:rsid w:val="699D03B8"/>
    <w:rsid w:val="6A8F4568"/>
    <w:rsid w:val="6B30566B"/>
    <w:rsid w:val="6C673402"/>
    <w:rsid w:val="713B7F41"/>
    <w:rsid w:val="71950C8E"/>
    <w:rsid w:val="721D49C4"/>
    <w:rsid w:val="73722259"/>
    <w:rsid w:val="751F60DD"/>
    <w:rsid w:val="7BB838AE"/>
    <w:rsid w:val="7C8E38A7"/>
    <w:rsid w:val="7E0B63A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2016-10-24T00:36:00Z</dcterms:created>
  <dc:creator>Administrator</dc:creator>
  <cp:lastModifiedBy>潘尚兵</cp:lastModifiedBy>
  <cp:lastPrinted>2018-04-25T01:16:00Z</cp:lastPrinted>
  <dcterms:modified xsi:type="dcterms:W3CDTF">2021-04-12T06:49:10Z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968B402AE01D41B1A0A2F1CE56CD8660</vt:lpwstr>
  </property>
</Properties>
</file>